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jc w:val="left"/>
        <w:rPr>
          <w:rFonts w:ascii="黑体" w:hAnsi="黑体" w:eastAsia="黑体"/>
          <w:sz w:val="32"/>
          <w:szCs w:val="32"/>
        </w:rPr>
      </w:pPr>
      <w:r>
        <w:rPr>
          <w:rFonts w:hint="eastAsia" w:ascii="黑体" w:hAnsi="黑体" w:eastAsia="黑体"/>
          <w:sz w:val="32"/>
          <w:szCs w:val="32"/>
        </w:rPr>
        <w:t>附件2</w:t>
      </w:r>
    </w:p>
    <w:p>
      <w:pPr>
        <w:spacing w:line="580" w:lineRule="exact"/>
        <w:ind w:right="397"/>
        <w:jc w:val="center"/>
        <w:rPr>
          <w:rStyle w:val="4"/>
          <w:rFonts w:cs="仿宋" w:asciiTheme="minorEastAsia" w:hAnsiTheme="minorEastAsia"/>
          <w:b/>
          <w:sz w:val="36"/>
          <w:szCs w:val="36"/>
          <w:lang w:val="zh-TW" w:eastAsia="zh-TW"/>
        </w:rPr>
      </w:pPr>
      <w:r>
        <w:rPr>
          <w:rStyle w:val="4"/>
          <w:rFonts w:hint="eastAsia" w:cs="仿宋" w:asciiTheme="minorEastAsia" w:hAnsiTheme="minorEastAsia"/>
          <w:b/>
          <w:sz w:val="36"/>
          <w:szCs w:val="36"/>
          <w:lang w:val="zh-TW" w:eastAsia="zh-TW"/>
        </w:rPr>
        <w:t>新闻类作品权重系数表</w:t>
      </w:r>
    </w:p>
    <w:p>
      <w:pPr>
        <w:ind w:right="567"/>
        <w:jc w:val="left"/>
        <w:rPr>
          <w:b/>
          <w:bCs/>
          <w:sz w:val="30"/>
          <w:szCs w:val="30"/>
        </w:rPr>
      </w:pPr>
    </w:p>
    <w:tbl>
      <w:tblPr>
        <w:tblStyle w:val="2"/>
        <w:tblW w:w="8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26"/>
        <w:gridCol w:w="3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26" w:type="dxa"/>
            <w:shd w:val="clear" w:color="auto" w:fill="E7E6E6" w:themeFill="background2"/>
            <w:vAlign w:val="center"/>
          </w:tcPr>
          <w:p>
            <w:pPr>
              <w:spacing w:line="240" w:lineRule="auto"/>
              <w:ind w:left="208" w:leftChars="98" w:hanging="2"/>
              <w:jc w:val="center"/>
              <w:rPr>
                <w:rFonts w:ascii="华文仿宋" w:hAnsi="华文仿宋" w:eastAsia="华文仿宋"/>
                <w:b/>
                <w:sz w:val="28"/>
                <w:szCs w:val="28"/>
              </w:rPr>
            </w:pPr>
            <w:r>
              <w:rPr>
                <w:rFonts w:hint="eastAsia" w:ascii="华文仿宋" w:hAnsi="华文仿宋" w:eastAsia="华文仿宋"/>
                <w:b/>
                <w:sz w:val="28"/>
                <w:szCs w:val="28"/>
              </w:rPr>
              <w:t>权重类别</w:t>
            </w:r>
          </w:p>
        </w:tc>
        <w:tc>
          <w:tcPr>
            <w:tcW w:w="3653" w:type="dxa"/>
            <w:shd w:val="clear" w:color="auto" w:fill="E7E6E6" w:themeFill="background2"/>
            <w:vAlign w:val="center"/>
          </w:tcPr>
          <w:p>
            <w:pPr>
              <w:spacing w:line="240" w:lineRule="auto"/>
              <w:ind w:left="185" w:leftChars="32" w:right="2" w:rightChars="1" w:hanging="118" w:hangingChars="42"/>
              <w:jc w:val="center"/>
              <w:rPr>
                <w:rFonts w:ascii="华文仿宋" w:hAnsi="华文仿宋" w:eastAsia="华文仿宋"/>
                <w:b/>
                <w:sz w:val="28"/>
                <w:szCs w:val="28"/>
              </w:rPr>
            </w:pPr>
            <w:r>
              <w:rPr>
                <w:rFonts w:hint="eastAsia" w:ascii="华文仿宋" w:hAnsi="华文仿宋" w:eastAsia="华文仿宋"/>
                <w:b/>
                <w:sz w:val="28"/>
                <w:szCs w:val="28"/>
              </w:rPr>
              <w:t>权重系数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26" w:type="dxa"/>
            <w:vAlign w:val="center"/>
          </w:tcPr>
          <w:p>
            <w:pPr>
              <w:spacing w:line="240" w:lineRule="auto"/>
              <w:ind w:left="208" w:leftChars="98" w:hanging="2"/>
              <w:jc w:val="center"/>
              <w:rPr>
                <w:rFonts w:ascii="华文仿宋" w:hAnsi="华文仿宋" w:eastAsia="华文仿宋"/>
                <w:sz w:val="28"/>
                <w:szCs w:val="28"/>
              </w:rPr>
            </w:pPr>
            <w:r>
              <w:rPr>
                <w:rFonts w:hint="eastAsia" w:ascii="华文仿宋" w:hAnsi="华文仿宋" w:eastAsia="华文仿宋"/>
                <w:sz w:val="28"/>
                <w:szCs w:val="28"/>
              </w:rPr>
              <w:t>中央级媒体（Ⅰ类）</w:t>
            </w:r>
          </w:p>
        </w:tc>
        <w:tc>
          <w:tcPr>
            <w:tcW w:w="3653" w:type="dxa"/>
            <w:vAlign w:val="center"/>
          </w:tcPr>
          <w:p>
            <w:pPr>
              <w:spacing w:line="240" w:lineRule="auto"/>
              <w:ind w:left="184" w:leftChars="32" w:right="2" w:rightChars="1" w:hanging="117" w:hangingChars="42"/>
              <w:jc w:val="center"/>
              <w:rPr>
                <w:rFonts w:ascii="华文仿宋" w:hAnsi="华文仿宋" w:eastAsia="华文仿宋"/>
                <w:sz w:val="28"/>
                <w:szCs w:val="28"/>
              </w:rPr>
            </w:pPr>
            <w:r>
              <w:rPr>
                <w:rFonts w:ascii="华文仿宋" w:hAnsi="华文仿宋" w:eastAsia="华文仿宋"/>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26" w:type="dxa"/>
            <w:vAlign w:val="center"/>
          </w:tcPr>
          <w:p>
            <w:pPr>
              <w:spacing w:line="240" w:lineRule="auto"/>
              <w:ind w:left="208" w:leftChars="98" w:hanging="2"/>
              <w:jc w:val="center"/>
              <w:rPr>
                <w:rFonts w:ascii="华文仿宋" w:hAnsi="华文仿宋" w:eastAsia="华文仿宋"/>
                <w:sz w:val="28"/>
                <w:szCs w:val="28"/>
              </w:rPr>
            </w:pPr>
            <w:r>
              <w:rPr>
                <w:rFonts w:hint="eastAsia" w:ascii="华文仿宋" w:hAnsi="华文仿宋" w:eastAsia="华文仿宋"/>
                <w:sz w:val="28"/>
                <w:szCs w:val="28"/>
              </w:rPr>
              <w:t>中央级媒体（Ⅱ类）</w:t>
            </w:r>
          </w:p>
        </w:tc>
        <w:tc>
          <w:tcPr>
            <w:tcW w:w="3653" w:type="dxa"/>
            <w:vAlign w:val="center"/>
          </w:tcPr>
          <w:p>
            <w:pPr>
              <w:spacing w:line="240" w:lineRule="auto"/>
              <w:ind w:left="184" w:leftChars="32" w:right="2" w:rightChars="1" w:hanging="117" w:hangingChars="42"/>
              <w:jc w:val="center"/>
              <w:rPr>
                <w:rFonts w:ascii="华文仿宋" w:hAnsi="华文仿宋" w:eastAsia="华文仿宋"/>
                <w:sz w:val="28"/>
                <w:szCs w:val="28"/>
              </w:rPr>
            </w:pPr>
            <w:r>
              <w:rPr>
                <w:rFonts w:ascii="华文仿宋" w:hAnsi="华文仿宋" w:eastAsia="华文仿宋"/>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26" w:type="dxa"/>
            <w:vAlign w:val="center"/>
          </w:tcPr>
          <w:p>
            <w:pPr>
              <w:spacing w:line="240" w:lineRule="auto"/>
              <w:ind w:left="208" w:leftChars="98" w:hanging="2"/>
              <w:jc w:val="center"/>
              <w:rPr>
                <w:rFonts w:ascii="华文仿宋" w:hAnsi="华文仿宋" w:eastAsia="华文仿宋"/>
                <w:sz w:val="28"/>
                <w:szCs w:val="28"/>
              </w:rPr>
            </w:pPr>
            <w:r>
              <w:rPr>
                <w:rFonts w:hint="eastAsia" w:ascii="华文仿宋" w:hAnsi="华文仿宋" w:eastAsia="华文仿宋"/>
                <w:sz w:val="28"/>
                <w:szCs w:val="28"/>
              </w:rPr>
              <w:t>国家部委网站</w:t>
            </w:r>
          </w:p>
        </w:tc>
        <w:tc>
          <w:tcPr>
            <w:tcW w:w="3653" w:type="dxa"/>
            <w:vAlign w:val="center"/>
          </w:tcPr>
          <w:p>
            <w:pPr>
              <w:spacing w:line="240" w:lineRule="auto"/>
              <w:ind w:left="184" w:leftChars="32" w:right="2" w:rightChars="1" w:hanging="117" w:hangingChars="42"/>
              <w:jc w:val="center"/>
              <w:rPr>
                <w:rFonts w:ascii="华文仿宋" w:hAnsi="华文仿宋" w:eastAsia="华文仿宋"/>
                <w:sz w:val="28"/>
                <w:szCs w:val="28"/>
              </w:rPr>
            </w:pPr>
            <w:r>
              <w:rPr>
                <w:rFonts w:hint="eastAsia" w:ascii="华文仿宋" w:hAnsi="华文仿宋" w:eastAsia="华文仿宋"/>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26" w:type="dxa"/>
            <w:vAlign w:val="center"/>
          </w:tcPr>
          <w:p>
            <w:pPr>
              <w:spacing w:line="240" w:lineRule="auto"/>
              <w:ind w:left="208" w:leftChars="98" w:hanging="2"/>
              <w:jc w:val="center"/>
              <w:rPr>
                <w:rFonts w:ascii="华文仿宋" w:hAnsi="华文仿宋" w:eastAsia="华文仿宋"/>
                <w:sz w:val="28"/>
                <w:szCs w:val="28"/>
              </w:rPr>
            </w:pPr>
            <w:r>
              <w:rPr>
                <w:rFonts w:hint="eastAsia" w:ascii="华文仿宋" w:hAnsi="华文仿宋" w:eastAsia="华文仿宋"/>
                <w:sz w:val="28"/>
                <w:szCs w:val="28"/>
              </w:rPr>
              <w:t>省市级新闻媒体</w:t>
            </w:r>
          </w:p>
        </w:tc>
        <w:tc>
          <w:tcPr>
            <w:tcW w:w="3653" w:type="dxa"/>
            <w:vAlign w:val="center"/>
          </w:tcPr>
          <w:p>
            <w:pPr>
              <w:spacing w:line="240" w:lineRule="auto"/>
              <w:ind w:left="184" w:leftChars="32" w:right="2" w:rightChars="1" w:hanging="117" w:hangingChars="42"/>
              <w:jc w:val="center"/>
              <w:rPr>
                <w:rFonts w:ascii="华文仿宋" w:hAnsi="华文仿宋" w:eastAsia="华文仿宋"/>
                <w:sz w:val="28"/>
                <w:szCs w:val="28"/>
              </w:rPr>
            </w:pPr>
            <w:r>
              <w:rPr>
                <w:rFonts w:ascii="华文仿宋" w:hAnsi="华文仿宋" w:eastAsia="华文仿宋"/>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26" w:type="dxa"/>
            <w:vAlign w:val="center"/>
          </w:tcPr>
          <w:p>
            <w:pPr>
              <w:spacing w:line="240" w:lineRule="auto"/>
              <w:ind w:left="208" w:leftChars="98" w:hanging="2"/>
              <w:jc w:val="center"/>
              <w:rPr>
                <w:rFonts w:ascii="华文仿宋" w:hAnsi="华文仿宋" w:eastAsia="华文仿宋"/>
                <w:sz w:val="28"/>
                <w:szCs w:val="28"/>
              </w:rPr>
            </w:pPr>
            <w:r>
              <w:rPr>
                <w:rFonts w:hint="eastAsia" w:ascii="华文仿宋" w:hAnsi="华文仿宋" w:eastAsia="华文仿宋"/>
                <w:sz w:val="28"/>
                <w:szCs w:val="28"/>
              </w:rPr>
              <w:t xml:space="preserve">行业媒体 </w:t>
            </w:r>
          </w:p>
        </w:tc>
        <w:tc>
          <w:tcPr>
            <w:tcW w:w="3653" w:type="dxa"/>
            <w:vAlign w:val="center"/>
          </w:tcPr>
          <w:p>
            <w:pPr>
              <w:spacing w:line="240" w:lineRule="auto"/>
              <w:ind w:left="184" w:leftChars="32" w:right="2" w:rightChars="1" w:hanging="117" w:hangingChars="42"/>
              <w:jc w:val="center"/>
              <w:rPr>
                <w:rFonts w:ascii="华文仿宋" w:hAnsi="华文仿宋" w:eastAsia="华文仿宋"/>
                <w:sz w:val="28"/>
                <w:szCs w:val="28"/>
              </w:rPr>
            </w:pPr>
            <w:r>
              <w:rPr>
                <w:rFonts w:ascii="华文仿宋" w:hAnsi="华文仿宋" w:eastAsia="华文仿宋"/>
                <w:sz w:val="28"/>
                <w:szCs w:val="28"/>
              </w:rPr>
              <w:t>1.2</w:t>
            </w:r>
          </w:p>
        </w:tc>
      </w:tr>
    </w:tbl>
    <w:p>
      <w:pPr>
        <w:ind w:right="567" w:firstLine="560" w:firstLineChars="200"/>
        <w:rPr>
          <w:rFonts w:ascii="仿宋_GB2312" w:eastAsia="仿宋_GB2312" w:cs="仿宋_GB2312"/>
          <w:sz w:val="28"/>
          <w:szCs w:val="28"/>
        </w:rPr>
      </w:pPr>
    </w:p>
    <w:p>
      <w:pPr>
        <w:spacing w:line="240" w:lineRule="auto"/>
        <w:ind w:right="567" w:firstLine="640" w:firstLineChars="200"/>
        <w:rPr>
          <w:rFonts w:ascii="仿宋" w:hAnsi="仿宋" w:eastAsia="仿宋" w:cs="仿宋_GB2312"/>
          <w:sz w:val="32"/>
          <w:szCs w:val="32"/>
        </w:rPr>
      </w:pPr>
      <w:r>
        <w:rPr>
          <w:rFonts w:ascii="仿宋" w:hAnsi="仿宋" w:eastAsia="仿宋" w:cs="仿宋_GB2312"/>
          <w:sz w:val="32"/>
          <w:szCs w:val="32"/>
        </w:rPr>
        <w:t>1.</w:t>
      </w:r>
      <w:r>
        <w:rPr>
          <w:rFonts w:hint="eastAsia" w:ascii="仿宋" w:hAnsi="仿宋" w:eastAsia="仿宋" w:cs="仿宋_GB2312"/>
          <w:sz w:val="32"/>
          <w:szCs w:val="32"/>
        </w:rPr>
        <w:t>中央级媒体指面向全国发行的综合性报刊中央新闻单位，如《人民日报》《光明日报》等。其中Ⅰ类媒体是指影响面广的报刊（中央媒体发行量在50万及以上）；中央网信办公布的中央重点新闻网站名单内的中央新闻网站及中央新闻单位为Ⅱ类。</w:t>
      </w:r>
    </w:p>
    <w:p>
      <w:pPr>
        <w:spacing w:line="240" w:lineRule="auto"/>
        <w:ind w:right="567" w:firstLine="640" w:firstLineChars="200"/>
        <w:rPr>
          <w:rFonts w:ascii="仿宋" w:hAnsi="仿宋" w:eastAsia="仿宋"/>
          <w:sz w:val="32"/>
          <w:szCs w:val="32"/>
        </w:rPr>
      </w:pPr>
      <w:r>
        <w:rPr>
          <w:rFonts w:ascii="仿宋" w:hAnsi="仿宋" w:eastAsia="仿宋" w:cs="仿宋_GB2312"/>
          <w:sz w:val="32"/>
          <w:szCs w:val="32"/>
        </w:rPr>
        <w:t>2.</w:t>
      </w:r>
      <w:r>
        <w:rPr>
          <w:rFonts w:hint="eastAsia" w:ascii="仿宋" w:hAnsi="仿宋" w:eastAsia="仿宋" w:cs="仿宋_GB2312"/>
          <w:sz w:val="32"/>
          <w:szCs w:val="32"/>
        </w:rPr>
        <w:t>省市级媒体指主要面向各省市地区发行的综合性报刊，如《齐鲁晚报》《四川日报》《北京日报》《昆明日报》《拉萨晚报》等。</w:t>
      </w:r>
    </w:p>
    <w:p>
      <w:pPr>
        <w:spacing w:line="240" w:lineRule="auto"/>
        <w:ind w:right="567" w:firstLine="640" w:firstLineChars="200"/>
        <w:rPr>
          <w:rFonts w:ascii="仿宋" w:hAnsi="仿宋" w:eastAsia="仿宋"/>
          <w:sz w:val="32"/>
          <w:szCs w:val="32"/>
        </w:rPr>
      </w:pPr>
      <w:r>
        <w:rPr>
          <w:rFonts w:ascii="仿宋" w:hAnsi="仿宋" w:eastAsia="仿宋" w:cs="仿宋_GB2312"/>
          <w:sz w:val="32"/>
          <w:szCs w:val="32"/>
        </w:rPr>
        <w:t>3.</w:t>
      </w:r>
      <w:r>
        <w:rPr>
          <w:rFonts w:hint="eastAsia" w:ascii="仿宋" w:hAnsi="仿宋" w:eastAsia="仿宋" w:cs="仿宋_GB2312"/>
          <w:sz w:val="32"/>
          <w:szCs w:val="32"/>
        </w:rPr>
        <w:t>行业媒体指以特定范围的读者为发行对象的专业性报纸及期刊，如《健康报》《医师报》《健康中国观察》《网络传播》等。</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lNGQ2YjcyMWU1NWIwNWM4NzY3M2VhMzYzNzIyMTUifQ=="/>
  </w:docVars>
  <w:rsids>
    <w:rsidRoot w:val="04D77A28"/>
    <w:rsid w:val="04D77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exact"/>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page number"/>
    <w:basedOn w:val="3"/>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2023-02-23T10:07:00Z</dcterms:created>
  <dc:creator>罗</dc:creator>
  <cp:lastModifiedBy>罗</cp:lastModifiedBy>
  <dcterms:modified xsi:type="dcterms:W3CDTF">2023-02-23T10:09:50Z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EAFF47CEA23340E493B79DF10BE7B2F5</vt:lpwstr>
  </property>
</Properties>
</file>